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media/rId20.jpg" ContentType="image/jpeg"/>
  <Override PartName="/word/media/rId24.jpg" ContentType="image/jpeg"/>
  <Override PartName="/word/media/rId28.jpg" ContentType="image/jpeg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re"/>
      </w:pPr>
      <w:r>
        <w:t xml:space="preserve">01</w:t>
      </w:r>
      <w:r>
        <w:t xml:space="preserve"> </w:t>
      </w:r>
      <w:r>
        <w:t xml:space="preserve">·</w:t>
      </w:r>
      <w:r>
        <w:t xml:space="preserve"> </w:t>
      </w:r>
      <w:r>
        <w:t xml:space="preserve">Chapitre</w:t>
      </w:r>
      <w:r>
        <w:t xml:space="preserve"> </w:t>
      </w:r>
      <w:r>
        <w:t xml:space="preserve">I</w:t>
      </w:r>
      <w:r>
        <w:t xml:space="preserve"> </w:t>
      </w:r>
      <w:r>
        <w:t xml:space="preserve">·</w:t>
      </w:r>
      <w:r>
        <w:t xml:space="preserve"> </w:t>
      </w:r>
      <w:r>
        <w:t xml:space="preserve">Introduction</w:t>
      </w:r>
    </w:p>
    <w:bookmarkStart w:id="32" w:name="chapitre-i-introduction"/>
    <w:p>
      <w:pPr>
        <w:pStyle w:val="Titre1"/>
      </w:pPr>
      <w:r>
        <w:t xml:space="preserve">Chapitre I · Introduction</w:t>
      </w:r>
    </w:p>
    <w:p>
      <w:pPr>
        <w:pStyle w:val="Figure"/>
      </w:pPr>
      <w:r>
        <w:drawing>
          <wp:inline>
            <wp:extent cx="5943600" cy="3458845"/>
            <wp:effectExtent b="0" l="0" r="0" t="0"/>
            <wp:docPr descr="" title="" id="21" name="Picture"/>
            <a:graphic>
              <a:graphicData uri="http://schemas.openxmlformats.org/drawingml/2006/picture">
                <pic:pic>
                  <pic:nvPicPr>
                    <pic:cNvPr descr="images/illus-de-couverture.jpg" id="22" name="Picture"/>
                    <pic:cNvPicPr>
                      <a:picLocks noChangeArrowheads="1"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458845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bookmarkStart w:id="23" w:name="la-petite-ville-de-saltmarsh"/>
    <w:p>
      <w:pPr>
        <w:pStyle w:val="Titre2"/>
      </w:pPr>
      <w:r>
        <w:t xml:space="preserve">La petite ville de Saltmarsh</w:t>
      </w:r>
    </w:p>
    <w:p>
      <w:pPr>
        <w:pStyle w:val="FirstParagraph"/>
      </w:pPr>
      <w:r>
        <w:t xml:space="preserve">La petite ville de Saltmarsh est le pivot de cette aventure, tant</w:t>
      </w:r>
      <w:r>
        <w:t xml:space="preserve"> </w:t>
      </w:r>
      <w:r>
        <w:t xml:space="preserve">pour les deux histoires présentées ici que pour les deux modules</w:t>
      </w:r>
      <w:r>
        <w:t xml:space="preserve"> </w:t>
      </w:r>
      <w:r>
        <w:t xml:space="preserve">suivants. Le “secret” de Saltmarsh tire son essence de la nature de la</w:t>
      </w:r>
      <w:r>
        <w:t xml:space="preserve"> </w:t>
      </w:r>
      <w:r>
        <w:t xml:space="preserve">ville et de ses environs. Le Conseil Municipal de Saltmarsh va inciter</w:t>
      </w:r>
      <w:r>
        <w:t xml:space="preserve"> </w:t>
      </w:r>
      <w:r>
        <w:t xml:space="preserve">le groupe d’aventuriers à remplir plusieurs missions et peut même,</w:t>
      </w:r>
      <w:r>
        <w:t xml:space="preserve"> </w:t>
      </w:r>
      <w:r>
        <w:t xml:space="preserve">jusqu’à un certain point les financer. Les aventuriers retournent à</w:t>
      </w:r>
      <w:r>
        <w:t xml:space="preserve"> </w:t>
      </w:r>
      <w:r>
        <w:t xml:space="preserve">Saltmarsh entre les aventures, s’y reposent et s’y soignent. Ils vont</w:t>
      </w:r>
      <w:r>
        <w:t xml:space="preserve"> </w:t>
      </w:r>
      <w:r>
        <w:t xml:space="preserve">passer de nombreuses semaines, voire même des mois de leur vie</w:t>
      </w:r>
      <w:r>
        <w:t xml:space="preserve"> </w:t>
      </w:r>
      <w:r>
        <w:t xml:space="preserve">d’aventure dans cette ville et en compagnie de ses habitants. En outre,</w:t>
      </w:r>
      <w:r>
        <w:t xml:space="preserve"> </w:t>
      </w:r>
      <w:r>
        <w:t xml:space="preserve">il existe en ville un tissu d’intrigues, tissé bien avant l’amorce des</w:t>
      </w:r>
      <w:r>
        <w:t xml:space="preserve"> </w:t>
      </w:r>
      <w:r>
        <w:t xml:space="preserve">aventures, que les personnages découvriront à mesure du développement de</w:t>
      </w:r>
      <w:r>
        <w:t xml:space="preserve"> </w:t>
      </w:r>
      <w:r>
        <w:t xml:space="preserve">l’intrigue. En fait, si les joueurs sont particulièrement obtus, ils</w:t>
      </w:r>
      <w:r>
        <w:t xml:space="preserve"> </w:t>
      </w:r>
      <w:r>
        <w:t xml:space="preserve">pourront ne pas s’en apercevoir avant qu’il ne soit trop tard…</w:t>
      </w:r>
    </w:p>
    <w:p>
      <w:pPr>
        <w:pStyle w:val="Corpsdetexte"/>
      </w:pPr>
      <w:r>
        <w:t xml:space="preserve">Il est par conséquent conseillé au Maitre du Donjon, pour qu’il y ait</w:t>
      </w:r>
      <w:r>
        <w:t xml:space="preserve"> </w:t>
      </w:r>
      <w:r>
        <w:t xml:space="preserve">un arrière-plan adéquat à la série, de préparer complètement la ville en</w:t>
      </w:r>
      <w:r>
        <w:t xml:space="preserve"> </w:t>
      </w:r>
      <w:r>
        <w:t xml:space="preserve">utilisant les informations contenues dans ce module comme base de sa</w:t>
      </w:r>
      <w:r>
        <w:t xml:space="preserve"> </w:t>
      </w:r>
      <w:r>
        <w:t xml:space="preserve">préparation. La manière de jouer du Maitre du Donjon et ses habitudes</w:t>
      </w:r>
      <w:r>
        <w:t xml:space="preserve"> </w:t>
      </w:r>
      <w:r>
        <w:t xml:space="preserve">régleront l’importance de cette préparation, mais il vous est suggéré de</w:t>
      </w:r>
      <w:r>
        <w:t xml:space="preserve"> </w:t>
      </w:r>
      <w:r>
        <w:t xml:space="preserve">régler au moins les points suivants :</w:t>
      </w:r>
    </w:p>
    <w:p>
      <w:pPr>
        <w:numPr>
          <w:ilvl w:val="0"/>
          <w:numId w:val="1001"/>
        </w:numPr>
        <w:pStyle w:val="Compact"/>
      </w:pPr>
      <w:r>
        <w:t xml:space="preserve">Le Conseil Municipal. Nommez chaque membre ; définissez leur métier,</w:t>
      </w:r>
      <w:r>
        <w:t xml:space="preserve"> </w:t>
      </w:r>
      <w:r>
        <w:t xml:space="preserve">rôle, personnalité, ainsi que leur puissance et leur richesse</w:t>
      </w:r>
      <w:r>
        <w:t xml:space="preserve"> </w:t>
      </w:r>
      <w:r>
        <w:t xml:space="preserve">proportionnellement à la communauté.</w:t>
      </w:r>
    </w:p>
    <w:p>
      <w:pPr>
        <w:numPr>
          <w:ilvl w:val="0"/>
          <w:numId w:val="1001"/>
        </w:numPr>
        <w:pStyle w:val="Compact"/>
      </w:pPr>
      <w:r>
        <w:t xml:space="preserve">Définissez de même les concitoyens éminents de la communauté</w:t>
      </w:r>
      <w:r>
        <w:t xml:space="preserve"> </w:t>
      </w:r>
      <w:r>
        <w:t xml:space="preserve">lorsqu’ils ne sont pas membres du Conseil Municipal.</w:t>
      </w:r>
    </w:p>
    <w:p>
      <w:pPr>
        <w:numPr>
          <w:ilvl w:val="0"/>
          <w:numId w:val="1001"/>
        </w:numPr>
        <w:pStyle w:val="Compact"/>
      </w:pPr>
      <w:r>
        <w:t xml:space="preserve">Dessinez une carte de la ville et déterminez l’emplacement de chaque</w:t>
      </w:r>
      <w:r>
        <w:t xml:space="preserve"> </w:t>
      </w:r>
      <w:r>
        <w:t xml:space="preserve">construction utile et de celles utilisées par les notables pour régler</w:t>
      </w:r>
      <w:r>
        <w:t xml:space="preserve"> </w:t>
      </w:r>
      <w:r>
        <w:t xml:space="preserve">leurs affaires.</w:t>
      </w:r>
    </w:p>
    <w:p>
      <w:pPr>
        <w:numPr>
          <w:ilvl w:val="0"/>
          <w:numId w:val="1001"/>
        </w:numPr>
        <w:pStyle w:val="Compact"/>
      </w:pPr>
      <w:r>
        <w:t xml:space="preserve">Déterminez l’endroit où les personnages s’installeront (la meilleure</w:t>
      </w:r>
      <w:r>
        <w:t xml:space="preserve"> </w:t>
      </w:r>
      <w:r>
        <w:t xml:space="preserve">auberge, la seule auberge…), et établissez le prix journalier de leur</w:t>
      </w:r>
      <w:r>
        <w:t xml:space="preserve"> </w:t>
      </w:r>
      <w:r>
        <w:t xml:space="preserve">nourriture et de leur logement. Et assurez-vous qu’ils payent bien leur</w:t>
      </w:r>
      <w:r>
        <w:t xml:space="preserve"> </w:t>
      </w:r>
      <w:r>
        <w:t xml:space="preserve">note !</w:t>
      </w:r>
    </w:p>
    <w:p>
      <w:pPr>
        <w:numPr>
          <w:ilvl w:val="0"/>
          <w:numId w:val="1001"/>
        </w:numPr>
        <w:pStyle w:val="Compact"/>
      </w:pPr>
      <w:r>
        <w:t xml:space="preserve">Placez le (ou les) lieu(x) de culte de la ville, et déterminez les</w:t>
      </w:r>
      <w:r>
        <w:t xml:space="preserve"> </w:t>
      </w:r>
      <w:r>
        <w:t xml:space="preserve">religions représentées.</w:t>
      </w:r>
    </w:p>
    <w:p>
      <w:pPr>
        <w:pStyle w:val="FirstParagraph"/>
      </w:pPr>
      <w:r>
        <w:t xml:space="preserve">Les livres de règles d’AD&amp;D, et particulièrement la partie du</w:t>
      </w:r>
      <w:r>
        <w:t xml:space="preserve"> </w:t>
      </w:r>
      <w:r>
        <w:t xml:space="preserve">Guide du Maitre du Donjon qui s’y rapporte devrait vous être de grand</w:t>
      </w:r>
      <w:r>
        <w:t xml:space="preserve"> </w:t>
      </w:r>
      <w:r>
        <w:t xml:space="preserve">secours dans cette tâche. Ne bâclez pas cette partie de la préparation :</w:t>
      </w:r>
      <w:r>
        <w:t xml:space="preserve"> </w:t>
      </w:r>
      <w:r>
        <w:t xml:space="preserve">dans cette série, les événements intervenant entre chaque module sont</w:t>
      </w:r>
      <w:r>
        <w:t xml:space="preserve"> </w:t>
      </w:r>
      <w:r>
        <w:t xml:space="preserve">presque aussi importants que les aventures elles-mêmes. Les personnages</w:t>
      </w:r>
      <w:r>
        <w:t xml:space="preserve"> </w:t>
      </w:r>
      <w:r>
        <w:t xml:space="preserve">de vos joueurs peuvent passer beaucoup de temps à Saltmarsh : soyez</w:t>
      </w:r>
      <w:r>
        <w:t xml:space="preserve"> </w:t>
      </w:r>
      <w:r>
        <w:t xml:space="preserve">juste avec cette ville, et avec vos joueurs !</w:t>
      </w:r>
    </w:p>
    <w:p>
      <w:pPr>
        <w:pStyle w:val="Corpsdetexte"/>
      </w:pPr>
      <w:r>
        <w:t xml:space="preserve">Saltmarsh est un petit port de pêche respectable. Ses habitants sont</w:t>
      </w:r>
      <w:r>
        <w:t xml:space="preserve"> </w:t>
      </w:r>
      <w:r>
        <w:t xml:space="preserve">relativement calmes, travailleurs et aimables. Il existe un système de</w:t>
      </w:r>
      <w:r>
        <w:t xml:space="preserve"> </w:t>
      </w:r>
      <w:r>
        <w:t xml:space="preserve">police et de justice suffisant ; dettes et faillites sont traitées avec</w:t>
      </w:r>
      <w:r>
        <w:t xml:space="preserve"> </w:t>
      </w:r>
      <w:r>
        <w:t xml:space="preserve">une particulière sévérité. La pêche est la principale source de revenu,</w:t>
      </w:r>
      <w:r>
        <w:t xml:space="preserve"> </w:t>
      </w:r>
      <w:r>
        <w:t xml:space="preserve">mais il existe quelques petites fermes dans la campagne avoisinante. La</w:t>
      </w:r>
      <w:r>
        <w:t xml:space="preserve"> </w:t>
      </w:r>
      <w:r>
        <w:t xml:space="preserve">ville possède un petit marché hebdomadaire qui attire des commerçants</w:t>
      </w:r>
      <w:r>
        <w:t xml:space="preserve"> </w:t>
      </w:r>
      <w:r>
        <w:t xml:space="preserve">des deux grandes villes de la région, Burle et Seaton, toutes deux</w:t>
      </w:r>
      <w:r>
        <w:t xml:space="preserve"> </w:t>
      </w:r>
      <w:r>
        <w:t xml:space="preserve">éloignées d’environ 30 km (Burle vers l’intérieur des terres au Nord</w:t>
      </w:r>
      <w:r>
        <w:t xml:space="preserve"> </w:t>
      </w:r>
      <w:r>
        <w:t xml:space="preserve">Ouest, et Seaton le long de la côte, à l’Est).</w:t>
      </w:r>
    </w:p>
    <w:p>
      <w:pPr>
        <w:pStyle w:val="Corpsdetexte"/>
      </w:pPr>
      <w:r>
        <w:t xml:space="preserve">Dans l’ensemble, vous pouvez vous représenter cette ville comme</w:t>
      </w:r>
      <w:r>
        <w:t xml:space="preserve"> </w:t>
      </w:r>
      <w:r>
        <w:t xml:space="preserve">ressemblant à n’importe quel petit port de pêche de 2 000 habitants sur</w:t>
      </w:r>
      <w:r>
        <w:t xml:space="preserve"> </w:t>
      </w:r>
      <w:r>
        <w:t xml:space="preserve">la côte Sud de l’Angleterre au 14</w:t>
      </w:r>
      <w:r>
        <w:rPr>
          <w:vertAlign w:val="superscript"/>
        </w:rPr>
        <w:t xml:space="preserve">ème</w:t>
      </w:r>
      <w:r>
        <w:t xml:space="preserve"> </w:t>
      </w:r>
      <w:r>
        <w:t xml:space="preserve">siècle, ou son</w:t>
      </w:r>
      <w:r>
        <w:t xml:space="preserve"> </w:t>
      </w:r>
      <w:r>
        <w:t xml:space="preserve">équivalent Breton.</w:t>
      </w:r>
    </w:p>
    <w:p>
      <w:pPr>
        <w:pStyle w:val="Corpsdetexte"/>
      </w:pPr>
      <w:r>
        <w:t xml:space="preserve">Sur la carte du monde de Greyhawk, Saltmarsh se trouve sur la bordure</w:t>
      </w:r>
      <w:r>
        <w:t xml:space="preserve"> </w:t>
      </w:r>
      <w:r>
        <w:t xml:space="preserve">occidentale de l’hexagone U4/123.</w:t>
      </w:r>
    </w:p>
    <w:bookmarkEnd w:id="23"/>
    <w:bookmarkStart w:id="27" w:name="la-légende"/>
    <w:p>
      <w:pPr>
        <w:pStyle w:val="Titre2"/>
      </w:pPr>
      <w:r>
        <w:t xml:space="preserve">La légende</w:t>
      </w:r>
    </w:p>
    <w:p>
      <w:pPr>
        <w:pStyle w:val="FirstParagraph"/>
      </w:pPr>
      <w:r>
        <w:t xml:space="preserve">A six kilomètres de Saltmarsh et bordant la vieille route côtière, la</w:t>
      </w:r>
      <w:r>
        <w:t xml:space="preserve"> </w:t>
      </w:r>
      <w:r>
        <w:t xml:space="preserve">Maison Hantée se dresse face à la mer. Elle fut, jusque il y a vingt</w:t>
      </w:r>
      <w:r>
        <w:t xml:space="preserve"> </w:t>
      </w:r>
      <w:r>
        <w:t xml:space="preserve">ans, la demeure d’un vieux magicien alchimiste de sinistre réputation,</w:t>
      </w:r>
      <w:r>
        <w:t xml:space="preserve"> </w:t>
      </w:r>
      <w:r>
        <w:t xml:space="preserve">et, même alors, était évitée en raison des mystérieuses occupations de</w:t>
      </w:r>
      <w:r>
        <w:t xml:space="preserve"> </w:t>
      </w:r>
      <w:r>
        <w:t xml:space="preserve">son propriétaire. Elle a ensuite, deux décades après la disparition</w:t>
      </w:r>
      <w:r>
        <w:t xml:space="preserve"> </w:t>
      </w:r>
      <w:r>
        <w:t xml:space="preserve">soudaine et inexpliquée de son occupant, et au fil des années, pris une</w:t>
      </w:r>
      <w:r>
        <w:t xml:space="preserve"> </w:t>
      </w:r>
      <w:r>
        <w:t xml:space="preserve">apparence de plus en plus maléfique et mystérieuse.</w:t>
      </w:r>
    </w:p>
    <w:p>
      <w:pPr>
        <w:pStyle w:val="CaptionedFigure"/>
      </w:pPr>
      <w:r>
        <w:drawing>
          <wp:inline>
            <wp:extent cx="5943600" cy="3904615"/>
            <wp:effectExtent b="0" l="0" r="0" t="0"/>
            <wp:docPr descr="" title="" id="25" name="Picture"/>
            <a:graphic>
              <a:graphicData uri="http://schemas.openxmlformats.org/drawingml/2006/picture">
                <pic:pic>
                  <pic:nvPicPr>
                    <pic:cNvPr descr="images/image-01.jpg" id="26" name="Picture"/>
                    <pic:cNvPicPr>
                      <a:picLocks noChangeArrowheads="1"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904615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A l’aventure !</w:t>
      </w:r>
    </w:p>
    <w:p>
      <w:pPr>
        <w:pStyle w:val="Corpsdetexte"/>
      </w:pPr>
      <w:r>
        <w:t xml:space="preserve">Délabrée et abandonnée depuis fort longtemps, la maison a maintenant</w:t>
      </w:r>
      <w:r>
        <w:t xml:space="preserve"> </w:t>
      </w:r>
      <w:r>
        <w:t xml:space="preserve">un aspect des plus insalubres. Les quelques âmes hardies qui ont parfois</w:t>
      </w:r>
      <w:r>
        <w:t xml:space="preserve"> </w:t>
      </w:r>
      <w:r>
        <w:t xml:space="preserve">tenté d’y pénétrer (car les rumeurs concernant des monceaux d’or</w:t>
      </w:r>
      <w:r>
        <w:t xml:space="preserve"> </w:t>
      </w:r>
      <w:r>
        <w:t xml:space="preserve">alchimique cachés ont persisté après la disparition du vieillard) n’en</w:t>
      </w:r>
      <w:r>
        <w:t xml:space="preserve"> </w:t>
      </w:r>
      <w:r>
        <w:t xml:space="preserve">ont rapporté que des récits macabres ponctués de dangers monstrueux.</w:t>
      </w:r>
    </w:p>
    <w:p>
      <w:pPr>
        <w:pStyle w:val="Corpsdetexte"/>
      </w:pPr>
      <w:r>
        <w:t xml:space="preserve">La rumeur de fantômes hantant la maison s’est développée ces</w:t>
      </w:r>
      <w:r>
        <w:t xml:space="preserve"> </w:t>
      </w:r>
      <w:r>
        <w:t xml:space="preserve">dernières années à cause des hurlements effroyables et des lumières</w:t>
      </w:r>
      <w:r>
        <w:t xml:space="preserve"> </w:t>
      </w:r>
      <w:r>
        <w:t xml:space="preserve">étranges émanant de ce lieu lugubre. Aujourd’hui, même les plus</w:t>
      </w:r>
      <w:r>
        <w:t xml:space="preserve"> </w:t>
      </w:r>
      <w:r>
        <w:t xml:space="preserve">vaillants refusent de s’en approcher et oseraient encore moins y</w:t>
      </w:r>
      <w:r>
        <w:t xml:space="preserve"> </w:t>
      </w:r>
      <w:r>
        <w:t xml:space="preserve">entrer : la réputation de la maison est telle que les champs qui</w:t>
      </w:r>
      <w:r>
        <w:t xml:space="preserve"> </w:t>
      </w:r>
      <w:r>
        <w:t xml:space="preserve">l’entourent, bien que la terre y soit très fertile, restent inexploités</w:t>
      </w:r>
      <w:r>
        <w:t xml:space="preserve"> </w:t>
      </w:r>
      <w:r>
        <w:t xml:space="preserve">et en friches.</w:t>
      </w:r>
    </w:p>
    <w:p>
      <w:pPr>
        <w:pStyle w:val="Corpsdetexte"/>
      </w:pPr>
      <w:r>
        <w:t xml:space="preserve">Si, après avoir entendu parler de la maison, les aventuriers partent</w:t>
      </w:r>
      <w:r>
        <w:t xml:space="preserve"> </w:t>
      </w:r>
      <w:r>
        <w:t xml:space="preserve">à la recherche d’une personne s’y étant rendue, ils ne trouveront au</w:t>
      </w:r>
      <w:r>
        <w:t xml:space="preserve"> </w:t>
      </w:r>
      <w:r>
        <w:t xml:space="preserve">départ personne. Des questions trop nombreuses sur ce sujet effrayera</w:t>
      </w:r>
      <w:r>
        <w:t xml:space="preserve"> </w:t>
      </w:r>
      <w:r>
        <w:t xml:space="preserve">les habitants de la ville et les rendra plus craintif, mais n’apportera</w:t>
      </w:r>
      <w:r>
        <w:t xml:space="preserve"> </w:t>
      </w:r>
      <w:r>
        <w:t xml:space="preserve">aucune information concrète.</w:t>
      </w:r>
    </w:p>
    <w:p>
      <w:pPr>
        <w:pStyle w:val="Corpsdetexte"/>
      </w:pPr>
      <w:r>
        <w:t xml:space="preserve">Si le groupe poursuit son enquête (et si le MD le désire) les</w:t>
      </w:r>
      <w:r>
        <w:t xml:space="preserve"> </w:t>
      </w:r>
      <w:r>
        <w:t xml:space="preserve">aventuriers pourront découvrir un vieux braconnier qui pourrait, si les</w:t>
      </w:r>
      <w:r>
        <w:t xml:space="preserve"> </w:t>
      </w:r>
      <w:r>
        <w:t xml:space="preserve">bons moyens sont employés (argent ou alcool) avouer s’y être aventuré</w:t>
      </w:r>
      <w:r>
        <w:t xml:space="preserve"> </w:t>
      </w:r>
      <w:r>
        <w:t xml:space="preserve">par la porte de derrière il y a quelques années, pensant pouvoir y</w:t>
      </w:r>
      <w:r>
        <w:t xml:space="preserve"> </w:t>
      </w:r>
      <w:r>
        <w:t xml:space="preserve">glaner un peu de nourriture. Heureux à la perspective de trouver du vin</w:t>
      </w:r>
      <w:r>
        <w:t xml:space="preserve"> </w:t>
      </w:r>
      <w:r>
        <w:t xml:space="preserve">gratuit à la cave, il commença à descendre les marches, entendit des</w:t>
      </w:r>
      <w:r>
        <w:t xml:space="preserve"> </w:t>
      </w:r>
      <w:r>
        <w:t xml:space="preserve">cris terribles et des gémissements perçants -et s’enfuit, effrayé à en</w:t>
      </w:r>
      <w:r>
        <w:t xml:space="preserve"> </w:t>
      </w:r>
      <w:r>
        <w:t xml:space="preserve">perdre la raison.</w:t>
      </w:r>
    </w:p>
    <w:p>
      <w:pPr>
        <w:pStyle w:val="Corpsdetexte"/>
      </w:pPr>
      <w:r>
        <w:t xml:space="preserve">Il peut leur indiquer la porte de derrière et sait qu’il y a un</w:t>
      </w:r>
      <w:r>
        <w:t xml:space="preserve"> </w:t>
      </w:r>
      <w:r>
        <w:t xml:space="preserve">puits. Il pourra leur décrire sommairement la cuisine, l’arrière-cuisine</w:t>
      </w:r>
      <w:r>
        <w:t xml:space="preserve"> </w:t>
      </w:r>
      <w:r>
        <w:t xml:space="preserve">et le passage y conduisant à partir de la porte de derrière, mais ne</w:t>
      </w:r>
      <w:r>
        <w:t xml:space="preserve"> </w:t>
      </w:r>
      <w:r>
        <w:t xml:space="preserve">sait rien de plus concernant la configuration de l’endroit. En outre, le</w:t>
      </w:r>
      <w:r>
        <w:t xml:space="preserve"> </w:t>
      </w:r>
      <w:r>
        <w:t xml:space="preserve">souvenir de ce qui l’a effrayé s’est amplifié au fil des ans et il peut</w:t>
      </w:r>
      <w:r>
        <w:t xml:space="preserve"> </w:t>
      </w:r>
      <w:r>
        <w:t xml:space="preserve">leur raconter n’importe quoi : une horde de spectres débouchant des</w:t>
      </w:r>
      <w:r>
        <w:t xml:space="preserve"> </w:t>
      </w:r>
      <w:r>
        <w:t xml:space="preserve">escaliers du cellier, un vampire entouré de rats, ou rien…</w:t>
      </w:r>
    </w:p>
    <w:p>
      <w:pPr>
        <w:pStyle w:val="Corpsdetexte"/>
      </w:pPr>
      <w:r>
        <w:t xml:space="preserve">Il s’aperçut peu après sa tentative que le récit de son aventure,</w:t>
      </w:r>
      <w:r>
        <w:t xml:space="preserve"> </w:t>
      </w:r>
      <w:r>
        <w:t xml:space="preserve">pour peu qu’il le corse et l’exagère un peu, pouvait lui permettre</w:t>
      </w:r>
      <w:r>
        <w:t xml:space="preserve"> </w:t>
      </w:r>
      <w:r>
        <w:t xml:space="preserve">d’obtenir maintes bières gratuites, gracieusement offertes par un</w:t>
      </w:r>
      <w:r>
        <w:t xml:space="preserve"> </w:t>
      </w:r>
      <w:r>
        <w:t xml:space="preserve">auditoire passionné. Personne, récemment, ne lui avait demandé de</w:t>
      </w:r>
      <w:r>
        <w:t xml:space="preserve"> </w:t>
      </w:r>
      <w:r>
        <w:t xml:space="preserve">raconter son histoire et, une fois sa langue déliée, il voudra redorer</w:t>
      </w:r>
      <w:r>
        <w:t xml:space="preserve"> </w:t>
      </w:r>
      <w:r>
        <w:t xml:space="preserve">son blason. A part la mise en garde des aventuriers contre de sinistres</w:t>
      </w:r>
      <w:r>
        <w:t xml:space="preserve"> </w:t>
      </w:r>
      <w:r>
        <w:t xml:space="preserve">et graves dangers (qui en fait n’existent pas), et quelques informations</w:t>
      </w:r>
      <w:r>
        <w:t xml:space="preserve"> </w:t>
      </w:r>
      <w:r>
        <w:t xml:space="preserve">utiles concernant l’agencement de la maison, il ne fournira aucune</w:t>
      </w:r>
      <w:r>
        <w:t xml:space="preserve"> </w:t>
      </w:r>
      <w:r>
        <w:t xml:space="preserve">indication intéressante.</w:t>
      </w:r>
    </w:p>
    <w:bookmarkEnd w:id="27"/>
    <w:bookmarkStart w:id="31" w:name="informations-générales"/>
    <w:p>
      <w:pPr>
        <w:pStyle w:val="Titre2"/>
      </w:pPr>
      <w:r>
        <w:t xml:space="preserve">Informations générales</w:t>
      </w:r>
    </w:p>
    <w:p>
      <w:pPr>
        <w:pStyle w:val="FirstParagraph"/>
      </w:pPr>
      <w:r>
        <w:t xml:space="preserve">Le secret de la Maison Hantée est qu’en fait, elle ne l’est pas :</w:t>
      </w:r>
      <w:r>
        <w:t xml:space="preserve"> </w:t>
      </w:r>
      <w:r>
        <w:t xml:space="preserve">c’est la base terrestre d’un groupe de contrebandiers dirigé par un</w:t>
      </w:r>
      <w:r>
        <w:t xml:space="preserve"> </w:t>
      </w:r>
      <w:r>
        <w:t xml:space="preserve">illusionniste de 4éme niveau. Les lueurs étranges aperçues la nuit par</w:t>
      </w:r>
      <w:r>
        <w:t xml:space="preserve"> </w:t>
      </w:r>
      <w:r>
        <w:t xml:space="preserve">les habitants de Saltmarsh sont les signaux émis par les voleurs vers</w:t>
      </w:r>
      <w:r>
        <w:t xml:space="preserve"> </w:t>
      </w:r>
      <w:r>
        <w:t xml:space="preserve">leur bateau mouillant en pleine mer. Les hurlements surnaturels et</w:t>
      </w:r>
      <w:r>
        <w:t xml:space="preserve"> </w:t>
      </w:r>
      <w:r>
        <w:t xml:space="preserve">autres cris sont provoqués par des sorts de Bouche Magique habilement</w:t>
      </w:r>
      <w:r>
        <w:t xml:space="preserve"> </w:t>
      </w:r>
      <w:r>
        <w:t xml:space="preserve">placés à l’intérieur de la construction. Voici pourquoi la mauvaise</w:t>
      </w:r>
      <w:r>
        <w:t xml:space="preserve"> </w:t>
      </w:r>
      <w:r>
        <w:t xml:space="preserve">réputation de la maison a récemment augmentée : les voleurs ont, en</w:t>
      </w:r>
      <w:r>
        <w:t xml:space="preserve"> </w:t>
      </w:r>
      <w:r>
        <w:t xml:space="preserve">l’espace de trois ans d’opérations réussies, et par ces moyens,</w:t>
      </w:r>
      <w:r>
        <w:t xml:space="preserve"> </w:t>
      </w:r>
      <w:r>
        <w:t xml:space="preserve">totalement éloigné toutes les enquêtes locales, officielles ou</w:t>
      </w:r>
      <w:r>
        <w:t xml:space="preserve"> </w:t>
      </w:r>
      <w:r>
        <w:t xml:space="preserve">officieuses.</w:t>
      </w:r>
    </w:p>
    <w:p>
      <w:pPr>
        <w:pStyle w:val="Corpsdetexte"/>
      </w:pPr>
      <w:r>
        <w:t xml:space="preserve">Il est capital de ne pas communiquer aux joueurs d’indications trop</w:t>
      </w:r>
      <w:r>
        <w:t xml:space="preserve"> </w:t>
      </w:r>
      <w:r>
        <w:t xml:space="preserve">évidentes qui les conduiraient à penser que la maison n’est pas hantée ;</w:t>
      </w:r>
      <w:r>
        <w:t xml:space="preserve"> </w:t>
      </w:r>
      <w:r>
        <w:t xml:space="preserve">ils doivent découvrir la vérité par eux-mêmes, ou simplement buter sur</w:t>
      </w:r>
      <w:r>
        <w:t xml:space="preserve"> </w:t>
      </w:r>
      <w:r>
        <w:t xml:space="preserve">elle. Ils peuvent même s’aventurer autour de la maison, trouver un petit</w:t>
      </w:r>
      <w:r>
        <w:t xml:space="preserve"> </w:t>
      </w:r>
      <w:r>
        <w:t xml:space="preserve">trésor et ne jamais découvrir ce qui s’y passe réellement.</w:t>
      </w:r>
    </w:p>
    <w:p>
      <w:pPr>
        <w:pStyle w:val="Corpsdetexte"/>
      </w:pPr>
      <w:r>
        <w:t xml:space="preserve">Ce module, ainsi que tous ceux de cette série, est destiné à des</w:t>
      </w:r>
      <w:r>
        <w:t xml:space="preserve"> </w:t>
      </w:r>
      <w:r>
        <w:t xml:space="preserve">joueurs perspicaces. Ceux qui aborderont ces aventures de manière</w:t>
      </w:r>
      <w:r>
        <w:t xml:space="preserve"> </w:t>
      </w:r>
      <w:r>
        <w:t xml:space="preserve">imaginative et réfléchie pourront non seulement obtenir de larges</w:t>
      </w:r>
      <w:r>
        <w:t xml:space="preserve"> </w:t>
      </w:r>
      <w:r>
        <w:t xml:space="preserve">récompenses pour leur personnage, mais auront également la satisfaction</w:t>
      </w:r>
      <w:r>
        <w:t xml:space="preserve"> </w:t>
      </w:r>
      <w:r>
        <w:t xml:space="preserve">de voir le voile se déchirer peu à peu devant eux au fur et à mesure</w:t>
      </w:r>
      <w:r>
        <w:t xml:space="preserve"> </w:t>
      </w:r>
      <w:r>
        <w:t xml:space="preserve">qu’ils découvriront la signification des indices. Par contre, les</w:t>
      </w:r>
      <w:r>
        <w:t xml:space="preserve"> </w:t>
      </w:r>
      <w:r>
        <w:t xml:space="preserve">joueurs qui se contenteront de partir à la chasse aux monstres seront</w:t>
      </w:r>
      <w:r>
        <w:t xml:space="preserve"> </w:t>
      </w:r>
      <w:r>
        <w:t xml:space="preserve">non seulement incapables d’en éclaircir les différents secrets, mais</w:t>
      </w:r>
      <w:r>
        <w:t xml:space="preserve"> </w:t>
      </w:r>
      <w:r>
        <w:t xml:space="preserve">trouveront en plus leurs aventures ennuyeuses et n’en tireront aucune</w:t>
      </w:r>
      <w:r>
        <w:t xml:space="preserve"> </w:t>
      </w:r>
      <w:r>
        <w:t xml:space="preserve">satisfaction ; ils peuvent même y perdre leurs personnages car des</w:t>
      </w:r>
      <w:r>
        <w:t xml:space="preserve"> </w:t>
      </w:r>
      <w:r>
        <w:t xml:space="preserve">contrebandiers, dans les mains d’un MD compétent, représentent un danger</w:t>
      </w:r>
      <w:r>
        <w:t xml:space="preserve"> </w:t>
      </w:r>
      <w:r>
        <w:t xml:space="preserve">bien réel pour un groupe aussi imprudent qu’insouciant.</w:t>
      </w:r>
    </w:p>
    <w:p>
      <w:pPr>
        <w:pStyle w:val="Corpsdetexte"/>
      </w:pPr>
      <w:r>
        <w:t xml:space="preserve">Le Maître du Donjon devra, pour les mêmes raisons, prendre quelques</w:t>
      </w:r>
      <w:r>
        <w:t xml:space="preserve"> </w:t>
      </w:r>
      <w:r>
        <w:t xml:space="preserve">précautions. Si l’aventure est préparée rapidement et sans grande</w:t>
      </w:r>
      <w:r>
        <w:t xml:space="preserve"> </w:t>
      </w:r>
      <w:r>
        <w:t xml:space="preserve">attention, votre groupe risque de facilement s’impatienter ou s’ennuyer.</w:t>
      </w:r>
      <w:r>
        <w:t xml:space="preserve"> </w:t>
      </w:r>
      <w:r>
        <w:t xml:space="preserve">Le Maître du Donjon devra préparer le terrain attentivement et diriger</w:t>
      </w:r>
      <w:r>
        <w:t xml:space="preserve"> </w:t>
      </w:r>
      <w:r>
        <w:t xml:space="preserve">le jeu de manière inventive en tenant les joueurs en haleine sans pour</w:t>
      </w:r>
      <w:r>
        <w:t xml:space="preserve"> </w:t>
      </w:r>
      <w:r>
        <w:t xml:space="preserve">autant livrer un quelconque secret. L’assassin (1ére partie, salle 15)</w:t>
      </w:r>
      <w:r>
        <w:t xml:space="preserve"> </w:t>
      </w:r>
      <w:r>
        <w:t xml:space="preserve">devra, en particulier, être très soigneusement manipulé : la découverte</w:t>
      </w:r>
      <w:r>
        <w:t xml:space="preserve"> </w:t>
      </w:r>
      <w:r>
        <w:t xml:space="preserve">prématurée de sa nature réelle due au manque de précautions de la part</w:t>
      </w:r>
      <w:r>
        <w:t xml:space="preserve"> </w:t>
      </w:r>
      <w:r>
        <w:t xml:space="preserve">du MD pourra rendre la totalité de l’opération de fraude transparente</w:t>
      </w:r>
      <w:r>
        <w:t xml:space="preserve"> </w:t>
      </w:r>
      <w:r>
        <w:t xml:space="preserve">pour le groupe, et, par conséquent, la rendre vulnérable.</w:t>
      </w:r>
    </w:p>
    <w:p>
      <w:pPr>
        <w:pStyle w:val="Corpsdetexte"/>
      </w:pPr>
      <w:r>
        <w:t xml:space="preserve">Il est conseillé au Maître du Donjon de lire attentivement l’ensemble</w:t>
      </w:r>
      <w:r>
        <w:t xml:space="preserve"> </w:t>
      </w:r>
      <w:r>
        <w:t xml:space="preserve">du module avant de commencer à le faire jouer ; prenez des notes en</w:t>
      </w:r>
      <w:r>
        <w:t xml:space="preserve"> </w:t>
      </w:r>
      <w:r>
        <w:t xml:space="preserve">marge et/ou sur le Carnet de Notes du Maître du Donjon (disponible dans</w:t>
      </w:r>
      <w:r>
        <w:t xml:space="preserve"> </w:t>
      </w:r>
      <w:r>
        <w:t xml:space="preserve">les publications T.S.R.) lorsqu’un aide-mémoire devient nécessaire. Même</w:t>
      </w:r>
      <w:r>
        <w:t xml:space="preserve"> </w:t>
      </w:r>
      <w:r>
        <w:t xml:space="preserve">si vous pensez ne jouer d’abord que “La Maison Hantée”, lisez également</w:t>
      </w:r>
      <w:r>
        <w:t xml:space="preserve"> </w:t>
      </w:r>
      <w:r>
        <w:t xml:space="preserve">“Le Fantôme des Mers” qui vous donnera une vue d’ensemble.</w:t>
      </w:r>
    </w:p>
    <w:p>
      <w:pPr>
        <w:pStyle w:val="Corpsdetexte"/>
      </w:pPr>
      <w:r>
        <w:t xml:space="preserve">Vous noterez que les descriptions des rencontres sont divisées en</w:t>
      </w:r>
      <w:r>
        <w:t xml:space="preserve"> </w:t>
      </w:r>
      <w:r>
        <w:t xml:space="preserve">sections “ouvertes” et “encadrées”. Les informations situées dans</w:t>
      </w:r>
      <w:r>
        <w:t xml:space="preserve"> </w:t>
      </w:r>
      <w:r>
        <w:t xml:space="preserve">l’encadré devront être livrées aux joueurs ainsi que les dimensions</w:t>
      </w:r>
      <w:r>
        <w:t xml:space="preserve"> </w:t>
      </w:r>
      <w:r>
        <w:t xml:space="preserve">approximatives de l’endroit (celles-ci peuvent être données avec plus de</w:t>
      </w:r>
      <w:r>
        <w:t xml:space="preserve"> </w:t>
      </w:r>
      <w:r>
        <w:t xml:space="preserve">précision si les personnages prennent la peine – et le temps – de</w:t>
      </w:r>
      <w:r>
        <w:t xml:space="preserve"> </w:t>
      </w:r>
      <w:r>
        <w:t xml:space="preserve">mesurer).</w:t>
      </w:r>
    </w:p>
    <w:p>
      <w:pPr>
        <w:pStyle w:val="Corpsdetexte"/>
      </w:pPr>
      <w:r>
        <w:t xml:space="preserve">Même lorsque ce n’est pas spécifiquement mentionné dans l’encadré,</w:t>
      </w:r>
      <w:r>
        <w:t xml:space="preserve"> </w:t>
      </w:r>
      <w:r>
        <w:t xml:space="preserve">vous devrez décrire les autres particularités de l’endroit (marches,</w:t>
      </w:r>
      <w:r>
        <w:t xml:space="preserve"> </w:t>
      </w:r>
      <w:r>
        <w:t xml:space="preserve">piliers, etc.) qui peuvent être vues sans difficultés. Le groupe ne</w:t>
      </w:r>
      <w:r>
        <w:t xml:space="preserve"> </w:t>
      </w:r>
      <w:r>
        <w:t xml:space="preserve">peut, au départ, agir que d’après ces informations.</w:t>
      </w:r>
    </w:p>
    <w:p>
      <w:pPr>
        <w:pStyle w:val="Figure"/>
      </w:pPr>
      <w:r>
        <w:drawing>
          <wp:inline>
            <wp:extent cx="5943600" cy="1882140"/>
            <wp:effectExtent b="0" l="0" r="0" t="0"/>
            <wp:docPr descr="" title="" id="29" name="Picture"/>
            <a:graphic>
              <a:graphicData uri="http://schemas.openxmlformats.org/drawingml/2006/picture">
                <pic:pic>
                  <pic:nvPicPr>
                    <pic:cNvPr descr="images/image-04.jpg" id="30" name="Picture"/>
                    <pic:cNvPicPr>
                      <a:picLocks noChangeArrowheads="1"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88214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FirstParagraph"/>
      </w:pPr>
      <w:r>
        <w:t xml:space="preserve">Des indices sont parfois donnés dans ces textes et le Maître du</w:t>
      </w:r>
      <w:r>
        <w:t xml:space="preserve"> </w:t>
      </w:r>
      <w:r>
        <w:t xml:space="preserve">Donjon ne devrait ajouter que de vagues informations complémentaires et</w:t>
      </w:r>
      <w:r>
        <w:t xml:space="preserve"> </w:t>
      </w:r>
      <w:r>
        <w:t xml:space="preserve">seulement lorsque des questions lui sont posées.</w:t>
      </w:r>
    </w:p>
    <w:p>
      <w:pPr>
        <w:pStyle w:val="Corpsdetexte"/>
      </w:pPr>
      <w:r>
        <w:t xml:space="preserve">Les sections ouvertes restantes et tous les paragraphes</w:t>
      </w:r>
      <w:r>
        <w:t xml:space="preserve"> </w:t>
      </w:r>
      <w:r>
        <w:t xml:space="preserve">d’introduction sont destinés à l’usage exclusif du MD et les</w:t>
      </w:r>
      <w:r>
        <w:t xml:space="preserve"> </w:t>
      </w:r>
      <w:r>
        <w:t xml:space="preserve">informations concernées ne doivent pas être transmises aux joueurs tant</w:t>
      </w:r>
      <w:r>
        <w:t xml:space="preserve"> </w:t>
      </w:r>
      <w:r>
        <w:t xml:space="preserve">qu’ils n’ont pas découvert les faits par eux-mêmes.</w:t>
      </w:r>
    </w:p>
    <w:p>
      <w:pPr>
        <w:pStyle w:val="Corpsdetexte"/>
      </w:pPr>
      <w:r>
        <w:t xml:space="preserve">Un abrégé des caractéristiques des monstres est fourni dans le texte</w:t>
      </w:r>
      <w:r>
        <w:t xml:space="preserve"> </w:t>
      </w:r>
      <w:r>
        <w:t xml:space="preserve">au moment des rencontres. Pour plus de détails, consultez le Manuel des</w:t>
      </w:r>
      <w:r>
        <w:t xml:space="preserve"> </w:t>
      </w:r>
      <w:r>
        <w:t xml:space="preserve">Monstres ou le Fiend Folio.</w:t>
      </w:r>
    </w:p>
    <w:p>
      <w:pPr>
        <w:pStyle w:val="Corpsdetexte"/>
      </w:pPr>
      <w:r>
        <w:t xml:space="preserve">N’oubliez pas que la maison a la réputation d’être hantée, et que la</w:t>
      </w:r>
      <w:r>
        <w:t xml:space="preserve"> </w:t>
      </w:r>
      <w:r>
        <w:t xml:space="preserve">population de Saltmarsh a de bonnes raisons d’y croire.</w:t>
      </w:r>
    </w:p>
    <w:p>
      <w:pPr>
        <w:pStyle w:val="Corpsdetexte"/>
      </w:pPr>
      <w:r>
        <w:t xml:space="preserve">Avant que les aventuriers trouvent les voleurs, essayez de donner à</w:t>
      </w:r>
      <w:r>
        <w:t xml:space="preserve"> </w:t>
      </w:r>
      <w:r>
        <w:t xml:space="preserve">leur aventure un air de mystère, en utilisant les descriptions des</w:t>
      </w:r>
      <w:r>
        <w:t xml:space="preserve"> </w:t>
      </w:r>
      <w:r>
        <w:t xml:space="preserve">salles comme une base de travail à compléter. Essayez de les</w:t>
      </w:r>
      <w:r>
        <w:t xml:space="preserve"> </w:t>
      </w:r>
      <w:r>
        <w:t xml:space="preserve">effrayer !</w:t>
      </w:r>
    </w:p>
    <w:p>
      <w:pPr>
        <w:pStyle w:val="Corpsdetexte"/>
      </w:pPr>
      <w:r>
        <w:t xml:space="preserve">Des activités seront en cours tant dans la maison que sur le bateau</w:t>
      </w:r>
      <w:r>
        <w:t xml:space="preserve"> </w:t>
      </w:r>
      <w:r>
        <w:t xml:space="preserve">lorsque les aventuriers arriveront. Il est bien évident que les</w:t>
      </w:r>
      <w:r>
        <w:t xml:space="preserve"> </w:t>
      </w:r>
      <w:r>
        <w:t xml:space="preserve">contrebandiers et l’équipage restent en mouvement et qu’ils n’attendent</w:t>
      </w:r>
      <w:r>
        <w:t xml:space="preserve"> </w:t>
      </w:r>
      <w:r>
        <w:t xml:space="preserve">pas simplement d’être découverts dans la pièce où ils se trouvaient au</w:t>
      </w:r>
      <w:r>
        <w:t xml:space="preserve"> </w:t>
      </w:r>
      <w:r>
        <w:t xml:space="preserve">départ, à moins que les aventuriers aient la chance de prendre chaque</w:t>
      </w:r>
      <w:r>
        <w:t xml:space="preserve"> </w:t>
      </w:r>
      <w:r>
        <w:t xml:space="preserve">groupe par surprise et dans le bon ordre avant qu’ils n’aient été</w:t>
      </w:r>
      <w:r>
        <w:t xml:space="preserve"> </w:t>
      </w:r>
      <w:r>
        <w:t xml:space="preserve">alertés. Même dans ce cas, il faudra se rappeler que l’équipage et les</w:t>
      </w:r>
      <w:r>
        <w:t xml:space="preserve"> </w:t>
      </w:r>
      <w:r>
        <w:t xml:space="preserve">contrebandiers se déplacent ; le fait, par exemple, que les</w:t>
      </w:r>
      <w:r>
        <w:t xml:space="preserve"> </w:t>
      </w:r>
      <w:r>
        <w:t xml:space="preserve">contrebandiers de la caverne 27 aient été surpris sera bientôt connu de</w:t>
      </w:r>
      <w:r>
        <w:t xml:space="preserve"> </w:t>
      </w:r>
      <w:r>
        <w:t xml:space="preserve">tous puisque les autres contrebandiers apportent du matériel de</w:t>
      </w:r>
      <w:r>
        <w:t xml:space="preserve"> </w:t>
      </w:r>
      <w:r>
        <w:t xml:space="preserve">contrebande des caves inférieures. Le MD devra faire preuve</w:t>
      </w:r>
      <w:r>
        <w:t xml:space="preserve"> </w:t>
      </w:r>
      <w:r>
        <w:t xml:space="preserve">d’imagination et de discernement quant à la tenue des contrebandiers</w:t>
      </w:r>
      <w:r>
        <w:t xml:space="preserve"> </w:t>
      </w:r>
      <w:r>
        <w:t xml:space="preserve">face à la situation, et ne pas simplement les considérer comme des</w:t>
      </w:r>
      <w:r>
        <w:t xml:space="preserve"> </w:t>
      </w:r>
      <w:r>
        <w:t xml:space="preserve">objets dans des pièces indépendantes.</w:t>
      </w:r>
    </w:p>
    <w:p>
      <w:pPr>
        <w:pStyle w:val="Corpsdetexte"/>
      </w:pPr>
      <w:r>
        <w:t xml:space="preserve">Le MD doit se souvenir que les voleurs sont assez intelligents, bien</w:t>
      </w:r>
      <w:r>
        <w:t xml:space="preserve"> </w:t>
      </w:r>
      <w:r>
        <w:t xml:space="preserve">organisés et connaissent parfaitement la maison, les cavernes et les</w:t>
      </w:r>
      <w:r>
        <w:t xml:space="preserve"> </w:t>
      </w:r>
      <w:r>
        <w:t xml:space="preserve">environs (à l’exception de l’aire secrète 24 dont ils ignorent tout).</w:t>
      </w:r>
      <w:r>
        <w:t xml:space="preserve"> </w:t>
      </w:r>
      <w:r>
        <w:t xml:space="preserve">Par conséquent, s’ils prennent connaissance de l’intrusion du groupe,</w:t>
      </w:r>
      <w:r>
        <w:t xml:space="preserve"> </w:t>
      </w:r>
      <w:r>
        <w:t xml:space="preserve">ils réagiront de manière coordonnée et efficace pour localiser et</w:t>
      </w:r>
      <w:r>
        <w:t xml:space="preserve"> </w:t>
      </w:r>
      <w:r>
        <w:t xml:space="preserve">détruire les intrus.</w:t>
      </w:r>
    </w:p>
    <w:p>
      <w:pPr>
        <w:pStyle w:val="Corpsdetexte"/>
      </w:pPr>
      <w:r>
        <w:t xml:space="preserve">Dans le même genre d’idées, vous ne devrez donner aux joueurs aucun</w:t>
      </w:r>
      <w:r>
        <w:t xml:space="preserve"> </w:t>
      </w:r>
      <w:r>
        <w:t xml:space="preserve">indice qu’ils n’aient découvert par eux-mêmes ni au sujet de l’aspect</w:t>
      </w:r>
      <w:r>
        <w:t xml:space="preserve"> </w:t>
      </w:r>
      <w:r>
        <w:t xml:space="preserve">maritime de l’activité des contrebandiers, ni sur l’opération de</w:t>
      </w:r>
      <w:r>
        <w:t xml:space="preserve"> </w:t>
      </w:r>
      <w:r>
        <w:t xml:space="preserve">contrebande d’armes du Fantôme des Mers, et ce même après la découverte</w:t>
      </w:r>
      <w:r>
        <w:t xml:space="preserve"> </w:t>
      </w:r>
      <w:r>
        <w:t xml:space="preserve">des contrebandiers par le groupe.</w:t>
      </w:r>
    </w:p>
    <w:p>
      <w:pPr>
        <w:pStyle w:val="Corpsdetexte"/>
      </w:pPr>
      <w:r>
        <w:t xml:space="preserve">Vous devrez donc considérer que les trafiquants et l’équipage vaquent</w:t>
      </w:r>
      <w:r>
        <w:t xml:space="preserve"> </w:t>
      </w:r>
      <w:r>
        <w:t xml:space="preserve">normalement à leurs occupations jusqu’au moment où ils réalisent que</w:t>
      </w:r>
      <w:r>
        <w:t xml:space="preserve"> </w:t>
      </w:r>
      <w:r>
        <w:t xml:space="preserve">leurs activités ont été découvertes ; faites les ensuite réagir de façon</w:t>
      </w:r>
      <w:r>
        <w:t xml:space="preserve"> </w:t>
      </w:r>
      <w:r>
        <w:t xml:space="preserve">coordonnée pour faire face à la menace et préserver leur secret</w:t>
      </w:r>
      <w:r>
        <w:t xml:space="preserve"> </w:t>
      </w:r>
      <w:r>
        <w:t xml:space="preserve">illicite. Sambalet, le chef des voleurs est assez intelligent et assez</w:t>
      </w:r>
      <w:r>
        <w:t xml:space="preserve"> </w:t>
      </w:r>
      <w:r>
        <w:t xml:space="preserve">perspicace pour avoir élaboré un plan de retraite s’il est découvert et</w:t>
      </w:r>
      <w:r>
        <w:t xml:space="preserve"> </w:t>
      </w:r>
      <w:r>
        <w:t xml:space="preserve">pour avoir préparé ses hommes à une évacuation ; le MD serait bien avisé</w:t>
      </w:r>
      <w:r>
        <w:t xml:space="preserve"> </w:t>
      </w:r>
      <w:r>
        <w:t xml:space="preserve">de suivre son exemple.</w:t>
      </w:r>
    </w:p>
    <w:p>
      <w:pPr>
        <w:pStyle w:val="Corpsdetexte"/>
      </w:pPr>
      <w:r>
        <w:t xml:space="preserve">Dans le cas où le groupe déciderait de quitter la maison avant la fin</w:t>
      </w:r>
      <w:r>
        <w:t xml:space="preserve"> </w:t>
      </w:r>
      <w:r>
        <w:t xml:space="preserve">de l’aventure et cherche plus tard à y revenir, le MD devra choisir</w:t>
      </w:r>
      <w:r>
        <w:t xml:space="preserve"> </w:t>
      </w:r>
      <w:r>
        <w:t xml:space="preserve">entre les deux possibilités suivantes : les voleurs auront évidemment</w:t>
      </w:r>
      <w:r>
        <w:t xml:space="preserve"> </w:t>
      </w:r>
      <w:r>
        <w:t xml:space="preserve">assez rapidement réalisé qu’il y a eu des intrus dans la maison. S’ils</w:t>
      </w:r>
      <w:r>
        <w:t xml:space="preserve"> </w:t>
      </w:r>
      <w:r>
        <w:t xml:space="preserve">n’ont aucun motif d’inquiétude quant à la découverte de leurs activités,</w:t>
      </w:r>
      <w:r>
        <w:t xml:space="preserve"> </w:t>
      </w:r>
      <w:r>
        <w:t xml:space="preserve">ils pourront continuer leur trafic, en doublant peut-être la garde</w:t>
      </w:r>
      <w:r>
        <w:t xml:space="preserve"> </w:t>
      </w:r>
      <w:r>
        <w:t xml:space="preserve">pendant quelques temps. Par contre, s’ils ont de bonnes raisons de</w:t>
      </w:r>
      <w:r>
        <w:t xml:space="preserve"> </w:t>
      </w:r>
      <w:r>
        <w:t xml:space="preserve">croire que lesdites activités ont été mises à jour, ils quitteront les</w:t>
      </w:r>
      <w:r>
        <w:t xml:space="preserve"> </w:t>
      </w:r>
      <w:r>
        <w:t xml:space="preserve">lieux en emmenant avec eux toutes leurs possessions (armes et objets</w:t>
      </w:r>
      <w:r>
        <w:t xml:space="preserve"> </w:t>
      </w:r>
      <w:r>
        <w:t xml:space="preserve">divers) afin que le groupe ne trouve plus aucune trace de leur</w:t>
      </w:r>
      <w:r>
        <w:t xml:space="preserve"> </w:t>
      </w:r>
      <w:r>
        <w:t xml:space="preserve">présence.</w:t>
      </w:r>
    </w:p>
    <w:p>
      <w:pPr>
        <w:pStyle w:val="Corpsdetexte"/>
      </w:pPr>
      <w:r>
        <w:t xml:space="preserve">Il est fort peu probable que le même scénario puisse s’appliquer au</w:t>
      </w:r>
      <w:r>
        <w:t xml:space="preserve"> </w:t>
      </w:r>
      <w:r>
        <w:t xml:space="preserve">Fantôme des Mers. Une fois le bateau abordé par le groupe, il est</w:t>
      </w:r>
      <w:r>
        <w:t xml:space="preserve"> </w:t>
      </w:r>
      <w:r>
        <w:t xml:space="preserve">inconcevable qu’il puisse le quitter sans rien découvrir. Dans ce cas,</w:t>
      </w:r>
      <w:r>
        <w:t xml:space="preserve"> </w:t>
      </w:r>
      <w:r>
        <w:t xml:space="preserve">peu probable, le MD devra décider de la conduite à tenir face à des</w:t>
      </w:r>
      <w:r>
        <w:t xml:space="preserve"> </w:t>
      </w:r>
      <w:r>
        <w:t xml:space="preserve">personnages aussi peu aventureux et niant à ce point l’évidence.</w:t>
      </w:r>
    </w:p>
    <w:bookmarkEnd w:id="31"/>
    <w:bookmarkEnd w:id="32"/>
    <w:sectPr w:rsidR="006D1F28" w:rsidRPr="004F7787" w:rsidSect="00BB399F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oefler Text">
    <w:altName w:val="Calibri"/>
    <w:charset w:val="00"/>
    <w:family w:val="auto"/>
    <w:pitch w:val="variable"/>
    <w:sig w:usb0="800002FF" w:usb1="5000204B" w:usb2="00000004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p14">
  <w:abstractNum w15:restartNumberingAfterBreak="0" w:abstractNumId="0">
    <w:nsid w:val="80A3BF21"/>
    <w:multiLevelType w:val="multilevel"/>
    <w:tmpl w:val="19FE978A"/>
    <w:lvl w:ilvl="0">
      <w:start w:val="1"/>
      <w:numFmt w:val="bullet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">
    <w:nsid w:val="FFFFFF7C"/>
    <w:multiLevelType w:val="singleLevel"/>
    <w:tmpl w:val="8084D268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15:restartNumberingAfterBreak="0" w:abstractNumId="2">
    <w:nsid w:val="FFFFFF7D"/>
    <w:multiLevelType w:val="singleLevel"/>
    <w:tmpl w:val="7C72BD9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15:restartNumberingAfterBreak="0" w:abstractNumId="3">
    <w:nsid w:val="FFFFFF7E"/>
    <w:multiLevelType w:val="singleLevel"/>
    <w:tmpl w:val="760AE55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15:restartNumberingAfterBreak="0" w:abstractNumId="4">
    <w:nsid w:val="FFFFFF7F"/>
    <w:multiLevelType w:val="singleLevel"/>
    <w:tmpl w:val="225ECE8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15:restartNumberingAfterBreak="0" w:abstractNumId="5">
    <w:nsid w:val="FFFFFF80"/>
    <w:multiLevelType w:val="singleLevel"/>
    <w:tmpl w:val="56F212E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ascii="Symbol" w:hAnsi="Symbol" w:hint="default"/>
      </w:rPr>
    </w:lvl>
  </w:abstractNum>
  <w:abstractNum w15:restartNumberingAfterBreak="0" w:abstractNumId="6">
    <w:nsid w:val="FFFFFF81"/>
    <w:multiLevelType w:val="singleLevel"/>
    <w:tmpl w:val="4F32C656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ascii="Symbol" w:hAnsi="Symbol" w:hint="default"/>
      </w:rPr>
    </w:lvl>
  </w:abstractNum>
  <w:abstractNum w15:restartNumberingAfterBreak="0" w:abstractNumId="7">
    <w:nsid w:val="FFFFFF82"/>
    <w:multiLevelType w:val="singleLevel"/>
    <w:tmpl w:val="0A9C42CE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ascii="Symbol" w:hAnsi="Symbol" w:hint="default"/>
      </w:rPr>
    </w:lvl>
  </w:abstractNum>
  <w:abstractNum w15:restartNumberingAfterBreak="0" w:abstractNumId="8">
    <w:nsid w:val="FFFFFF83"/>
    <w:multiLevelType w:val="singleLevel"/>
    <w:tmpl w:val="3D229C56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ascii="Symbol" w:hAnsi="Symbol" w:hint="default"/>
      </w:rPr>
    </w:lvl>
  </w:abstractNum>
  <w:abstractNum w15:restartNumberingAfterBreak="0" w:abstractNumId="9">
    <w:nsid w:val="FFFFFF88"/>
    <w:multiLevelType w:val="singleLevel"/>
    <w:tmpl w:val="A4942B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15:restartNumberingAfterBreak="0" w:abstractNumId="10">
    <w:nsid w:val="FFFFFF89"/>
    <w:multiLevelType w:val="singleLevel"/>
    <w:tmpl w:val="7716FEA8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ascii="Symbol" w:hAnsi="Symbol" w:hint="default"/>
      </w:rPr>
    </w:lvl>
  </w:abstractNum>
  <w:abstractNum w15:restartNumberingAfterBreak="0" w:abstractNumId="11">
    <w:nsid w:val="255DA1CD"/>
    <w:multiLevelType w:val="multilevel"/>
    <w:tmpl w:val="82EE88C2"/>
    <w:lvl w:ilvl="0">
      <w:start w:val="3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3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3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3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3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3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3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2">
    <w:nsid w:val="3371589D"/>
    <w:multiLevelType w:val="multilevel"/>
    <w:tmpl w:val="54B2C838"/>
    <w:lvl w:ilvl="0">
      <w:start w:val="1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3">
    <w:nsid w:val="3A0CC6BA"/>
    <w:multiLevelType w:val="multilevel"/>
    <w:tmpl w:val="BDD2D0D8"/>
    <w:lvl w:ilvl="0">
      <w:start w:val="5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5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5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5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5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5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5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4">
    <w:nsid w:val="55FC5ABC"/>
    <w:multiLevelType w:val="multilevel"/>
    <w:tmpl w:val="12548A0E"/>
    <w:lvl w:ilvl="0">
      <w:start w:val="1"/>
      <w:numFmt w:val="bullet"/>
      <w:pStyle w:val="Paragraphedeliste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5">
    <w:nsid w:val="66EB4C9B"/>
    <w:multiLevelType w:val="multilevel"/>
    <w:tmpl w:val="11E6F828"/>
    <w:lvl w:ilvl="0">
      <w:start w:val="1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6">
    <w:nsid w:val="7648516F"/>
    <w:multiLevelType w:val="multilevel"/>
    <w:tmpl w:val="A1445374"/>
    <w:lvl w:ilvl="0">
      <w:numFmt w:val="bullet"/>
      <w:lvlText w:val=" "/>
      <w:lvlJc w:val="left"/>
      <w:pPr>
        <w:tabs>
          <w:tab w:pos="0" w:val="num"/>
        </w:tabs>
        <w:ind w:hanging="480" w:left="480"/>
      </w:pPr>
    </w:lvl>
    <w:lvl w:ilvl="1">
      <w:numFmt w:val="bullet"/>
      <w:lvlText w:val=" "/>
      <w:lvlJc w:val="left"/>
      <w:pPr>
        <w:tabs>
          <w:tab w:pos="720" w:val="num"/>
        </w:tabs>
        <w:ind w:hanging="480" w:left="1200"/>
      </w:pPr>
    </w:lvl>
    <w:lvl w:ilvl="2">
      <w:numFmt w:val="bullet"/>
      <w:lvlText w:val=" "/>
      <w:lvlJc w:val="left"/>
      <w:pPr>
        <w:tabs>
          <w:tab w:pos="1440" w:val="num"/>
        </w:tabs>
        <w:ind w:hanging="480" w:left="1920"/>
      </w:pPr>
    </w:lvl>
    <w:lvl w:ilvl="3">
      <w:numFmt w:val="bullet"/>
      <w:lvlText w:val=" 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 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 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 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401">
    <w:nsid w:val="A99401"/>
    <w:multiLevelType w:val="multilevel"/>
    <w:lvl w:ilvl="0">
      <w:start w:val="1"/>
      <w:numFmt w:val="decimal"/>
      <w:lvlText w:val="%1."/>
      <w:lvlJc w:val="left"/>
      <w:pPr>
        <w:ind w:left="720" w:hanging="480"/>
      </w:pPr>
    </w:lvl>
    <w:lvl w:ilvl="1">
      <w:start w:val="1"/>
      <w:numFmt w:val="decimal"/>
      <w:lvlText w:val="%2."/>
      <w:lvlJc w:val="left"/>
      <w:pPr>
        <w:ind w:left="1440" w:hanging="480"/>
      </w:pPr>
    </w:lvl>
    <w:lvl w:ilvl="2">
      <w:start w:val="1"/>
      <w:numFmt w:val="decimal"/>
      <w:lvlText w:val="%3."/>
      <w:lvlJc w:val="left"/>
      <w:pPr>
        <w:ind w:left="2160" w:hanging="480"/>
      </w:pPr>
    </w:lvl>
    <w:lvl w:ilvl="3">
      <w:start w:val="1"/>
      <w:numFmt w:val="decimal"/>
      <w:lvlText w:val="%4."/>
      <w:lvlJc w:val="left"/>
      <w:pPr>
        <w:ind w:left="2880" w:hanging="480"/>
      </w:pPr>
    </w:lvl>
    <w:lvl w:ilvl="4">
      <w:start w:val="1"/>
      <w:numFmt w:val="decimal"/>
      <w:lvlText w:val="%5."/>
      <w:lvlJc w:val="left"/>
      <w:pPr>
        <w:ind w:left="3600" w:hanging="480"/>
      </w:pPr>
    </w:lvl>
    <w:lvl w:ilvl="5">
      <w:start w:val="1"/>
      <w:numFmt w:val="decimal"/>
      <w:lvlText w:val="%6."/>
      <w:lvlJc w:val="left"/>
      <w:pPr>
        <w:ind w:left="4320" w:hanging="480"/>
      </w:pPr>
    </w:lvl>
    <w:lvl w:ilvl="6">
      <w:start w:val="1"/>
      <w:numFmt w:val="decimal"/>
      <w:lvlText w:val="%7."/>
      <w:lvlJc w:val="left"/>
      <w:pPr>
        <w:ind w:left="5040" w:hanging="480"/>
      </w:pPr>
    </w:lvl>
    <w:lvl w:ilvl="7">
      <w:start w:val="1"/>
      <w:numFmt w:val="decimal"/>
      <w:lvlText w:val="%8."/>
      <w:lvlJc w:val="left"/>
      <w:pPr>
        <w:ind w:left="5760" w:hanging="480"/>
      </w:pPr>
    </w:lvl>
    <w:lvl w:ilvl="8">
      <w:start w:val="1"/>
      <w:numFmt w:val="decimal"/>
      <w:lvlText w:val="%9."/>
      <w:lvlJc w:val="left"/>
      <w:pPr>
        <w:ind w:left="6480" w:hanging="480"/>
      </w:pPr>
    </w:lvl>
  </w:abstractNum>
  <w:num w:numId="1">
    <w:abstractNumId w:val="16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9">
    <w:abstractNumId w:val="13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1">
    <w:abstractNumId w:val="11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</w:num>
  <w:num w:numId="12">
    <w:abstractNumId w:val="0"/>
  </w:num>
  <w:num w:numId="13">
    <w:abstractNumId w:val="7"/>
  </w:num>
  <w:num w:numId="14">
    <w:abstractNumId w:val="6"/>
  </w:num>
  <w:num w:numId="15">
    <w:abstractNumId w:val="14"/>
  </w:num>
  <w:num w:numId="16">
    <w:abstractNumId w:val="9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10"/>
  </w:num>
  <w:num w:numId="22">
    <w:abstractNumId w:val="8"/>
  </w:num>
  <w:num w:numId="23">
    <w:abstractNumId w:val="5"/>
  </w:num>
  <w:num w:numId="1000">
    <w:abstractNumId w:val="990"/>
  </w:num>
  <w:num w:numId="1001">
    <w:abstractNumId w:val="994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doNotTrackMoves/>
  <w:savePreviewPicture/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eastAsia="ja-JP" w:val="en-US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376" w:defLockedState="0" w:defQFormat="0" w:defSemiHidden="0" w:defUIPriority="0" w:defUnhideWhenUsed="0">
    <w:lsdException w:name="heading 4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5" w:semiHidden="1" w:unhideWhenUsed="1"/>
    <w:lsdException w:name="List Bullet 2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default="1" w:styleId="Normal" w:type="paragraph">
    <w:name w:val="Normal"/>
    <w:qFormat/>
    <w:rsid w:val="002B21D5"/>
    <w:pPr>
      <w:spacing w:after="120" w:line="312" w:lineRule="auto"/>
    </w:pPr>
    <w:rPr>
      <w:rFonts w:ascii="Times New Roman" w:hAnsi="Times New Roman"/>
      <w:lang w:val="fr-FR"/>
    </w:rPr>
  </w:style>
  <w:style w:styleId="Titre1" w:type="paragraph">
    <w:name w:val="heading 1"/>
    <w:basedOn w:val="Normal"/>
    <w:next w:val="Normal"/>
    <w:uiPriority w:val="9"/>
    <w:qFormat/>
    <w:rsid w:val="00953864"/>
    <w:pPr>
      <w:keepLines/>
      <w:pageBreakBefore/>
      <w:spacing w:after="240" w:line="240" w:lineRule="auto"/>
      <w:outlineLvl w:val="0"/>
    </w:pPr>
    <w:rPr>
      <w:rFonts w:cstheme="majorBidi" w:eastAsiaTheme="majorEastAsia"/>
      <w:bCs/>
      <w:color w:val="591409"/>
      <w:sz w:val="72"/>
      <w:szCs w:val="48"/>
      <w:lang w:val="en-US"/>
    </w:rPr>
  </w:style>
  <w:style w:styleId="Titre2" w:type="paragraph">
    <w:name w:val="heading 2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1"/>
    </w:pPr>
    <w:rPr>
      <w:rFonts w:cstheme="majorBidi" w:eastAsiaTheme="majorEastAsia"/>
      <w:bCs/>
      <w:color w:val="591409"/>
      <w:sz w:val="56"/>
      <w:szCs w:val="22"/>
      <w:lang w:val="en-US"/>
    </w:rPr>
  </w:style>
  <w:style w:styleId="Titre3" w:type="paragraph">
    <w:name w:val="heading 3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2"/>
    </w:pPr>
    <w:rPr>
      <w:rFonts w:cstheme="majorBidi" w:eastAsiaTheme="majorEastAsia"/>
      <w:bCs/>
      <w:color w:val="591409"/>
      <w:sz w:val="44"/>
      <w:lang w:val="en-US"/>
    </w:rPr>
  </w:style>
  <w:style w:styleId="Titre4" w:type="paragraph">
    <w:name w:val="heading 4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3"/>
    </w:pPr>
    <w:rPr>
      <w:rFonts w:cstheme="majorBidi" w:eastAsiaTheme="majorEastAsia"/>
      <w:bCs/>
      <w:color w:val="591409"/>
      <w:sz w:val="36"/>
      <w:szCs w:val="22"/>
      <w:lang w:val="en-US"/>
    </w:rPr>
  </w:style>
  <w:style w:styleId="Titre5" w:type="paragraph">
    <w:name w:val="heading 5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4"/>
    </w:pPr>
    <w:rPr>
      <w:rFonts w:cstheme="majorBidi" w:eastAsiaTheme="majorEastAsia"/>
      <w:bCs/>
      <w:iCs/>
      <w:color w:val="591409"/>
      <w:sz w:val="28"/>
      <w:lang w:val="en-US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customStyle="1" w:styleId="Compact" w:type="paragraph">
    <w:name w:val="Compact"/>
    <w:basedOn w:val="Normal"/>
    <w:qFormat/>
    <w:rsid w:val="00482157"/>
    <w:pPr>
      <w:spacing w:after="100" w:afterAutospacing="1" w:before="100" w:beforeAutospacing="1"/>
    </w:pPr>
  </w:style>
  <w:style w:styleId="Titre" w:type="paragraph">
    <w:name w:val="Title"/>
    <w:basedOn w:val="Normal"/>
    <w:next w:val="Normal"/>
    <w:qFormat/>
    <w:rsid w:val="00D62A13"/>
    <w:pPr>
      <w:keepNext/>
      <w:keepLines/>
      <w:spacing w:after="480" w:before="120"/>
      <w:jc w:val="right"/>
    </w:pPr>
    <w:rPr>
      <w:rFonts w:cs="Times New Roman" w:eastAsiaTheme="majorEastAsia"/>
      <w:bCs/>
      <w:sz w:val="20"/>
      <w:szCs w:val="20"/>
      <w:lang w:val="en-US"/>
    </w:rPr>
  </w:style>
  <w:style w:customStyle="1" w:styleId="Authors" w:type="paragraph">
    <w:name w:val="Authors"/>
    <w:next w:val="Normal"/>
    <w:qFormat/>
    <w:pPr>
      <w:keepNext/>
      <w:keepLines/>
      <w:jc w:val="center"/>
    </w:pPr>
  </w:style>
  <w:style w:styleId="Date" w:type="paragraph">
    <w:name w:val="Date"/>
    <w:next w:val="Normal"/>
    <w:qFormat/>
    <w:pPr>
      <w:keepNext/>
      <w:keepLines/>
      <w:jc w:val="center"/>
    </w:pPr>
  </w:style>
  <w:style w:customStyle="1" w:styleId="BlockQuote" w:type="paragraph">
    <w:name w:val="Block Quote"/>
    <w:basedOn w:val="Normal"/>
    <w:next w:val="Normal"/>
    <w:uiPriority w:val="9"/>
    <w:unhideWhenUsed/>
    <w:qFormat/>
    <w:rsid w:val="00482157"/>
    <w:pPr>
      <w:pBdr>
        <w:left w:color="548DD4" w:space="20" w:sz="4" w:themeColor="text2" w:themeTint="99" w:val="single"/>
        <w:right w:color="548DD4" w:space="20" w:sz="4" w:themeColor="text2" w:themeTint="99" w:val="single"/>
      </w:pBdr>
      <w:spacing w:after="240" w:before="240"/>
      <w:ind w:left="1440" w:right="1440"/>
    </w:pPr>
    <w:rPr>
      <w:rFonts w:cstheme="majorBidi" w:eastAsiaTheme="majorEastAsia"/>
      <w:bCs/>
      <w:color w:themeColor="text1" w:themeTint="80" w:val="7F7F7F"/>
      <w:szCs w:val="20"/>
    </w:rPr>
  </w:style>
  <w:style w:styleId="Notedebasdepage" w:type="paragraph">
    <w:name w:val="footnote text"/>
    <w:basedOn w:val="Normal"/>
    <w:uiPriority w:val="9"/>
    <w:unhideWhenUsed/>
    <w:qFormat/>
    <w:rsid w:val="007C1813"/>
    <w:pPr>
      <w:spacing w:line="240" w:lineRule="auto"/>
    </w:pPr>
    <w:rPr>
      <w:sz w:val="20"/>
    </w:rPr>
  </w:style>
  <w:style w:customStyle="1" w:styleId="DefinitionTerm" w:type="paragraph">
    <w:name w:val="Definition Term"/>
    <w:basedOn w:val="Normal"/>
    <w:next w:val="Definition"/>
    <w:rsid w:val="00D5045B"/>
    <w:pPr>
      <w:keepNext/>
      <w:keepLines/>
    </w:pPr>
    <w:rPr>
      <w:b/>
      <w:bCs/>
      <w:color w:themeColor="text2" w:val="1F497D"/>
    </w:rPr>
  </w:style>
  <w:style w:customStyle="1" w:styleId="Definition" w:type="paragraph">
    <w:name w:val="Definition"/>
    <w:basedOn w:val="Normal"/>
    <w:rsid w:val="00D5045B"/>
    <w:pPr>
      <w:ind w:left="720"/>
    </w:pPr>
  </w:style>
  <w:style w:styleId="Corpsdetexte" w:type="paragraph">
    <w:name w:val="Body Text"/>
    <w:basedOn w:val="Normal"/>
    <w:link w:val="CorpsdetexteCar"/>
  </w:style>
  <w:style w:customStyle="1" w:styleId="TableCaption" w:type="paragraph">
    <w:name w:val="Table Caption"/>
    <w:basedOn w:val="Normal"/>
    <w:rPr>
      <w:i/>
    </w:rPr>
  </w:style>
  <w:style w:customStyle="1" w:styleId="ImageCaption" w:type="paragraph">
    <w:name w:val="Image Caption"/>
    <w:basedOn w:val="Normal"/>
    <w:link w:val="BodyTextChar"/>
    <w:rsid w:val="008547F7"/>
    <w:pPr>
      <w:jc w:val="center"/>
    </w:pPr>
  </w:style>
  <w:style w:customStyle="1" w:styleId="BodyTextChar" w:type="character">
    <w:name w:val="Body Text Char"/>
    <w:basedOn w:val="Policepardfaut"/>
    <w:link w:val="ImageCaption"/>
    <w:rsid w:val="008547F7"/>
    <w:rPr>
      <w:rFonts w:ascii="Times New Roman" w:hAnsi="Times New Roman"/>
      <w:lang w:val="fr-FR"/>
    </w:rPr>
  </w:style>
  <w:style w:customStyle="1" w:styleId="VerbatimChar" w:type="character">
    <w:name w:val="Verbatim Char"/>
    <w:basedOn w:val="BodyTextChar"/>
    <w:link w:val="SourceCode"/>
    <w:rsid w:val="007C1813"/>
    <w:rPr>
      <w:rFonts w:ascii="Consolas" w:hAnsi="Consolas"/>
      <w:lang w:val="fr-FR"/>
    </w:rPr>
  </w:style>
  <w:style w:customStyle="1" w:styleId="FootnoteRef" w:type="character">
    <w:name w:val="Footnote Ref"/>
    <w:basedOn w:val="BodyTextChar"/>
    <w:rPr>
      <w:rFonts w:ascii="Times New Roman" w:hAnsi="Times New Roman"/>
      <w:vertAlign w:val="superscript"/>
      <w:lang w:val="fr-FR"/>
    </w:rPr>
  </w:style>
  <w:style w:customStyle="1" w:styleId="Link" w:type="character">
    <w:name w:val="Link"/>
    <w:basedOn w:val="BodyTextChar"/>
    <w:rsid w:val="00D80FE7"/>
    <w:rPr>
      <w:rFonts w:ascii="Times New Roman" w:hAnsi="Times New Roman"/>
      <w:color w:themeColor="accent1" w:val="4F81BD"/>
      <w:sz w:val="32"/>
      <w:lang w:val="fr-FR"/>
    </w:rPr>
  </w:style>
  <w:style w:customStyle="1" w:styleId="SourceCode" w:type="paragraph">
    <w:name w:val="Source Code"/>
    <w:basedOn w:val="Normal"/>
    <w:link w:val="VerbatimChar"/>
    <w:rsid w:val="007C1813"/>
    <w:pPr>
      <w:wordWrap w:val="0"/>
    </w:pPr>
    <w:rPr>
      <w:rFonts w:ascii="Consolas" w:hAnsi="Consolas"/>
    </w:rPr>
  </w:style>
  <w:style w:customStyle="1" w:styleId="KeywordTok" w:type="character">
    <w:name w:val="KeywordTok"/>
    <w:basedOn w:val="VerbatimChar"/>
    <w:rPr>
      <w:rFonts w:ascii="Consolas" w:hAnsi="Consolas"/>
      <w:b/>
      <w:color w:val="007020"/>
      <w:lang w:val="fr-FR"/>
    </w:rPr>
  </w:style>
  <w:style w:customStyle="1" w:styleId="DataTypeTok" w:type="character">
    <w:name w:val="DataTypeTok"/>
    <w:basedOn w:val="VerbatimChar"/>
    <w:rPr>
      <w:rFonts w:ascii="Consolas" w:hAnsi="Consolas"/>
      <w:color w:val="902000"/>
      <w:lang w:val="fr-FR"/>
    </w:rPr>
  </w:style>
  <w:style w:customStyle="1" w:styleId="DecValTok" w:type="character">
    <w:name w:val="DecValTok"/>
    <w:basedOn w:val="VerbatimChar"/>
    <w:rPr>
      <w:rFonts w:ascii="Consolas" w:hAnsi="Consolas"/>
      <w:color w:val="40A070"/>
      <w:lang w:val="fr-FR"/>
    </w:rPr>
  </w:style>
  <w:style w:customStyle="1" w:styleId="BaseNTok" w:type="character">
    <w:name w:val="BaseNTok"/>
    <w:basedOn w:val="VerbatimChar"/>
    <w:rPr>
      <w:rFonts w:ascii="Consolas" w:hAnsi="Consolas"/>
      <w:color w:val="40A070"/>
      <w:lang w:val="fr-FR"/>
    </w:rPr>
  </w:style>
  <w:style w:customStyle="1" w:styleId="FloatTok" w:type="character">
    <w:name w:val="FloatTok"/>
    <w:basedOn w:val="VerbatimChar"/>
    <w:rPr>
      <w:rFonts w:ascii="Consolas" w:hAnsi="Consolas"/>
      <w:color w:val="40A070"/>
      <w:lang w:val="fr-FR"/>
    </w:rPr>
  </w:style>
  <w:style w:customStyle="1" w:styleId="CharTok" w:type="character">
    <w:name w:val="CharTok"/>
    <w:basedOn w:val="VerbatimChar"/>
    <w:rPr>
      <w:rFonts w:ascii="Consolas" w:hAnsi="Consolas"/>
      <w:color w:val="4070A0"/>
      <w:lang w:val="fr-FR"/>
    </w:rPr>
  </w:style>
  <w:style w:customStyle="1" w:styleId="StringTok" w:type="character">
    <w:name w:val="StringTok"/>
    <w:basedOn w:val="VerbatimChar"/>
    <w:rPr>
      <w:rFonts w:ascii="Consolas" w:hAnsi="Consolas"/>
      <w:color w:val="4070A0"/>
      <w:lang w:val="fr-FR"/>
    </w:rPr>
  </w:style>
  <w:style w:customStyle="1" w:styleId="CommentTok" w:type="character">
    <w:name w:val="CommentTok"/>
    <w:basedOn w:val="VerbatimChar"/>
    <w:rPr>
      <w:rFonts w:ascii="Consolas" w:hAnsi="Consolas"/>
      <w:i/>
      <w:color w:val="60A0B0"/>
      <w:lang w:val="fr-FR"/>
    </w:rPr>
  </w:style>
  <w:style w:customStyle="1" w:styleId="OtherTok" w:type="character">
    <w:name w:val="OtherTok"/>
    <w:basedOn w:val="VerbatimChar"/>
    <w:rPr>
      <w:rFonts w:ascii="Consolas" w:hAnsi="Consolas"/>
      <w:color w:val="007020"/>
      <w:lang w:val="fr-FR"/>
    </w:rPr>
  </w:style>
  <w:style w:customStyle="1" w:styleId="AlertTok" w:type="character">
    <w:name w:val="AlertTok"/>
    <w:basedOn w:val="VerbatimChar"/>
    <w:rPr>
      <w:rFonts w:ascii="Consolas" w:hAnsi="Consolas"/>
      <w:b/>
      <w:color w:val="FF0000"/>
      <w:lang w:val="fr-FR"/>
    </w:rPr>
  </w:style>
  <w:style w:customStyle="1" w:styleId="FunctionTok" w:type="character">
    <w:name w:val="FunctionTok"/>
    <w:basedOn w:val="VerbatimChar"/>
    <w:rPr>
      <w:rFonts w:ascii="Consolas" w:hAnsi="Consolas"/>
      <w:color w:val="06287E"/>
      <w:lang w:val="fr-FR"/>
    </w:rPr>
  </w:style>
  <w:style w:customStyle="1" w:styleId="RegionMarkerTok" w:type="character">
    <w:name w:val="RegionMarkerTok"/>
    <w:basedOn w:val="VerbatimChar"/>
    <w:rPr>
      <w:rFonts w:ascii="Consolas" w:hAnsi="Consolas"/>
      <w:lang w:val="fr-FR"/>
    </w:rPr>
  </w:style>
  <w:style w:customStyle="1" w:styleId="ErrorTok" w:type="character">
    <w:name w:val="ErrorTok"/>
    <w:basedOn w:val="VerbatimChar"/>
    <w:rPr>
      <w:rFonts w:ascii="Consolas" w:hAnsi="Consolas"/>
      <w:b/>
      <w:color w:val="FF0000"/>
      <w:lang w:val="fr-FR"/>
    </w:rPr>
  </w:style>
  <w:style w:customStyle="1" w:styleId="NormalTok" w:type="character">
    <w:name w:val="NormalTok"/>
    <w:basedOn w:val="VerbatimChar"/>
    <w:rPr>
      <w:rFonts w:ascii="Consolas" w:hAnsi="Consolas"/>
      <w:lang w:val="fr-FR"/>
    </w:rPr>
  </w:style>
  <w:style w:styleId="Paragraphedeliste" w:type="paragraph">
    <w:name w:val="List Paragraph"/>
    <w:basedOn w:val="Normal"/>
    <w:rsid w:val="007342F2"/>
    <w:pPr>
      <w:numPr>
        <w:numId w:val="15"/>
      </w:numPr>
      <w:ind w:hanging="142" w:left="284"/>
      <w:contextualSpacing/>
    </w:pPr>
  </w:style>
  <w:style w:customStyle="1" w:styleId="CorpsdetexteCar" w:type="character">
    <w:name w:val="Corps de texte Car"/>
    <w:basedOn w:val="Policepardfaut"/>
    <w:link w:val="Corpsdetexte"/>
    <w:rsid w:val="001D314A"/>
    <w:rPr>
      <w:rFonts w:ascii="Hoefler Text" w:hAnsi="Hoefler Text"/>
    </w:rPr>
  </w:style>
  <w:style w:styleId="Grilledutableau" w:type="table">
    <w:name w:val="Table Grid"/>
    <w:basedOn w:val="TableauNormal"/>
    <w:rsid w:val="006D1F28"/>
    <w:pPr>
      <w:spacing w:after="0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ableausimple1" w:type="table">
    <w:name w:val="Plain Table 1"/>
    <w:basedOn w:val="TableauNormal"/>
    <w:rsid w:val="006D1F28"/>
    <w:pPr>
      <w:spacing w:after="0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color w:val="008000"/>
      <w:b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image" Id="rId20" Target="media/rId20.jpg" /><Relationship Type="http://schemas.openxmlformats.org/officeDocument/2006/relationships/image" Id="rId24" Target="media/rId24.jpg" /><Relationship Type="http://schemas.openxmlformats.org/officeDocument/2006/relationships/image" Id="rId28" Target="media/rId28.jp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8</Pages>
  <Words>812</Words>
  <Characters>4467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Pandoc Markdown Example Document</vt:lpstr>
    </vt:vector>
  </TitlesOfParts>
  <Company/>
  <LinksUpToDate>false</LinksUpToDate>
  <CharactersWithSpaces>5269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01 · Chapitre I · Introduction</dc:title>
  <dc:creator/>
  <dc:language/>
  <cp:keywords/>
  <dcterms:created xsi:type="dcterms:W3CDTF">2023-12-11T14:12:27Z</dcterms:created>
  <dcterms:modified xsi:type="dcterms:W3CDTF">2023-12-11T14:12:27Z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pandoc</vt:lpwstr>
  </property>
  <property fmtid="{D5CDD505-2E9C-101B-9397-08002B2CF9AE}" pid="3" name="viewport">
    <vt:lpwstr>width=device-width, initial-scale=1.0, user-scalable=yes</vt:lpwstr>
  </property>
</Properties>
</file>